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6947"/>
        <w:gridCol w:w="2976"/>
      </w:tblGrid>
      <w:tr w:rsidR="005C6387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5C6387" w:rsidRPr="00E21084" w:rsidRDefault="00E21084" w:rsidP="007F229C">
            <w:pPr>
              <w:spacing w:before="80" w:after="80"/>
              <w:jc w:val="center"/>
              <w:rPr>
                <w:rFonts w:ascii="Sparkasse Rg" w:hAnsi="Sparkasse Rg"/>
                <w:color w:val="FFFFFF" w:themeColor="background1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 xml:space="preserve">Vorbereitung </w:t>
            </w:r>
            <w:r w:rsidR="000679DF" w:rsidRPr="00E21084">
              <w:rPr>
                <w:rFonts w:ascii="Sparkasse Rg" w:hAnsi="Sparkasse Rg"/>
                <w:noProof/>
                <w:color w:val="FFFFFF" w:themeColor="background1"/>
                <w:sz w:val="20"/>
                <w:szCs w:val="20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5C6387" w:rsidRPr="00E21084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5C6387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5C6387" w:rsidRPr="00E21084" w:rsidRDefault="005C6387" w:rsidP="00443506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5C6387" w:rsidRPr="00E21084" w:rsidRDefault="00E21084" w:rsidP="00443506">
            <w:pPr>
              <w:jc w:val="both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Unterschriebene und genehmigte Zusatzvereinbarung sowie Datenschutz-Verpflichtungserklärung für mobiles Arbeiten liegen vor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6387" w:rsidRPr="00E21084" w:rsidRDefault="005C6387" w:rsidP="00443506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ascii="Sparkasse Rg" w:eastAsia="Arial Unicode MS" w:hAnsi="Sparkasse Rg" w:cs="Arial Unicode MS"/>
                <w:sz w:val="20"/>
                <w:szCs w:val="20"/>
              </w:rPr>
              <w:id w:val="699440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C30DA8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Absprache mit Führungskraft </w:t>
            </w:r>
            <w:r w:rsidR="00C30DA8">
              <w:rPr>
                <w:rFonts w:ascii="Sparkasse Rg" w:eastAsia="Century Gothic" w:hAnsi="Sparkasse Rg" w:cs="Century Gothic"/>
                <w:sz w:val="20"/>
                <w:szCs w:val="20"/>
              </w:rPr>
              <w:t>und Team (vor allem Vertreter)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zu geplanten Homeoffice-Zeiten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C30DA8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165031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C30DA8" w:rsidRDefault="00C30DA8" w:rsidP="00E21084">
                <w:pPr>
                  <w:rPr>
                    <w:rFonts w:ascii="Sparkasse Rg" w:eastAsia="Arial Unicode MS" w:hAnsi="Sparkasse Rg" w:cs="Arial Unicode MS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C30DA8" w:rsidRPr="00E21084" w:rsidRDefault="00C30DA8" w:rsidP="007F229C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I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n Outlook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kenntlich machen, z.B. 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als Termin/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„an einem anderen Ort tätig“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0DA8" w:rsidRPr="00E21084" w:rsidRDefault="00C30DA8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1106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7F229C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Sammel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n von Themen, die sich im Homeo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ffice gut bea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rbeiten lassen, z.B. Eingaben, k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onzeptionelles Arbeiten, Projektarbeiten,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Gesprächsvor- bzw. </w:t>
            </w:r>
          </w:p>
          <w:p w:rsidR="00C30DA8" w:rsidRPr="00E21084" w:rsidRDefault="007F229C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-</w:t>
            </w:r>
            <w:r w:rsidR="00E21084"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nachbereitungen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30DA8" w:rsidRDefault="00C30DA8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Feste Struktur und Tagesordnung planen, </w:t>
            </w:r>
          </w:p>
          <w:p w:rsidR="00E21084" w:rsidRPr="00E21084" w:rsidRDefault="00C30DA8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Pausen einhalten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205480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7F229C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Erforderliche Unterlagen mitnehmen – Info an Führungskraft und datenschutzsicher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er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Transport/Aufbewahrung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7F229C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Sicherstellung der Anmeldung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des Naspa-Telefons (Avaya), </w:t>
            </w:r>
            <w:r w:rsidR="00C81C73">
              <w:rPr>
                <w:rFonts w:ascii="Sparkasse Rg" w:eastAsia="Century Gothic" w:hAnsi="Sparkasse Rg" w:cs="Century Gothic"/>
                <w:sz w:val="20"/>
                <w:szCs w:val="20"/>
              </w:rPr>
              <w:t>sonst klappt das U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mstellen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auf ein mobiles Gerät 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nicht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5107F8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Anleitung im NaspaNet unter  „Handbücher und Hilfen“ -  Anwendung Avaya </w:t>
            </w:r>
            <w:proofErr w:type="spellStart"/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>One</w:t>
            </w:r>
            <w:proofErr w:type="spellEnd"/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X-Communicator aus </w:t>
            </w:r>
            <w:proofErr w:type="spellStart"/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>Naspa</w:t>
            </w:r>
            <w:proofErr w:type="spellEnd"/>
            <w:r w:rsidRPr="005107F8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IT-Service Telefonie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9286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Schaffen eines festen büroähnlichen Arbeitsplatzes mit geeigneten Arbeitsmitteln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Technische Ausstattung sowie stabile Internetverbindung sind vorhanden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E21084" w:rsidRPr="00E21084" w:rsidRDefault="00E21084" w:rsidP="00E21084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21084">
              <w:rPr>
                <w:rFonts w:ascii="Sparkasse Rg" w:hAnsi="Sparkasse Rg"/>
                <w:noProof/>
                <w:color w:val="FFFFFF" w:themeColor="background1"/>
                <w:sz w:val="20"/>
                <w:szCs w:val="20"/>
                <w:lang w:eastAsia="de-DE"/>
              </w:rPr>
              <w:drawing>
                <wp:anchor distT="0" distB="0" distL="0" distR="0" simplePos="0" relativeHeight="251665408" behindDoc="0" locked="0" layoutInCell="1" hidden="0" allowOverlap="1" wp14:anchorId="322C94E8" wp14:editId="735958D4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108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Arbeiten im Homeoffice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Telefon „mitnehmen“ über die App „</w:t>
            </w:r>
            <w:proofErr w:type="spellStart"/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One</w:t>
            </w:r>
            <w:proofErr w:type="spellEnd"/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-X-Communicator“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5107F8" w:rsidRDefault="00A96C02" w:rsidP="005107F8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sz w:val="20"/>
                <w:szCs w:val="20"/>
              </w:rPr>
              <w:t>s</w:t>
            </w:r>
            <w:r w:rsidR="00C23F1C">
              <w:rPr>
                <w:rFonts w:ascii="Sparkasse Rg" w:eastAsia="Century Gothic" w:hAnsi="Sparkasse Rg" w:cs="Century Gothic"/>
                <w:sz w:val="20"/>
                <w:szCs w:val="20"/>
              </w:rPr>
              <w:t>.</w:t>
            </w:r>
            <w:r w:rsidR="005107F8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oben genannte Anleitung im NaspaNet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Datenschutz sicherstellen: kein „Einsehen“ oder Mithören, Sprachassistent(in) Alexa, Siri und Co. ausschalten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F258AA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Selbstmanagement: Ablenkungen reduzieren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150871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Zeitmanagement: Feste Struktur und Tagesordnung einhalten, Pausen planen und in Outlook eintragen</w:t>
            </w:r>
            <w:r w:rsidR="00EC1505">
              <w:rPr>
                <w:rFonts w:ascii="Sparkasse Rg" w:eastAsia="Century Gothic" w:hAnsi="Sparkasse Rg" w:cs="Century Gothic"/>
                <w:sz w:val="20"/>
                <w:szCs w:val="20"/>
              </w:rPr>
              <w:t>, feste Anfangs- und Endzeiten einplanen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4470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Checklisten zu Video- und Telefonkonferenzen beachten</w:t>
            </w:r>
            <w:r w:rsidR="00C23F1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(auf angemessenes Erscheinungsbild achten etc.)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tc>
          <w:tcPr>
            <w:tcW w:w="7372" w:type="dxa"/>
            <w:gridSpan w:val="2"/>
            <w:shd w:val="clear" w:color="auto" w:fill="808080" w:themeFill="background1" w:themeFillShade="80"/>
            <w:vAlign w:val="center"/>
          </w:tcPr>
          <w:p w:rsidR="00E21084" w:rsidRPr="00E21084" w:rsidRDefault="00E21084" w:rsidP="007F229C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21084">
              <w:rPr>
                <w:rFonts w:ascii="Sparkasse Rg" w:hAnsi="Sparkasse Rg"/>
                <w:noProof/>
                <w:color w:val="FFFFFF" w:themeColor="background1"/>
                <w:sz w:val="20"/>
                <w:szCs w:val="20"/>
                <w:lang w:eastAsia="de-DE"/>
              </w:rPr>
              <w:drawing>
                <wp:anchor distT="0" distB="0" distL="0" distR="0" simplePos="0" relativeHeight="251670528" behindDoc="0" locked="0" layoutInCell="1" hidden="0" allowOverlap="1" wp14:anchorId="26BF7E9B" wp14:editId="1B68CD43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108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 xml:space="preserve">Nachbereitung 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57886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7F229C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Rufumleitung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wieder herausnehmen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26908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Arbeitsdokumente datenschutzsicher lagern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4809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Planung des nächsten Arbeitstages: Beginn, Termine, Themen mit jeweiligen Zeitfenstern, Pausen, Ende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20938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7F229C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Eintragun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g der Arbeitszeit am Folgetag in der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NaspaMap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br/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(ganztägig = Zeitbuchungskorrekturen, untertägig/an arbeitsfreien Tagen = Abwesenheitsantrag)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C23F1C" w:rsidRDefault="00C23F1C" w:rsidP="00C23F1C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C23F1C">
              <w:rPr>
                <w:rFonts w:ascii="Sparkasse Rg" w:eastAsia="Century Gothic" w:hAnsi="Sparkasse Rg" w:cs="Century Gothic"/>
                <w:sz w:val="20"/>
                <w:szCs w:val="20"/>
              </w:rPr>
              <w:t>Anleitung im NaspaNet unter „Personal und Recht“ - Home Office - Abwesenheiten und Zeitkorrekturen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195536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7F229C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Ruhezeit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einhalten 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(min. 11 Std. </w:t>
            </w:r>
            <w:r w:rsidR="007F229C">
              <w:rPr>
                <w:rFonts w:ascii="Sparkasse Rg" w:eastAsia="Century Gothic" w:hAnsi="Sparkasse Rg" w:cs="Century Gothic"/>
                <w:sz w:val="20"/>
                <w:szCs w:val="20"/>
              </w:rPr>
              <w:t>zwischen Feierabend und nächstem Arbeitsbeginn</w:t>
            </w: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)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 </w:t>
            </w:r>
          </w:p>
        </w:tc>
      </w:tr>
      <w:tr w:rsidR="00E21084" w:rsidTr="001C2D4F">
        <w:trPr>
          <w:trHeight w:val="440"/>
        </w:trPr>
        <w:sdt>
          <w:sdtPr>
            <w:rPr>
              <w:rFonts w:ascii="Sparkasse Rg" w:eastAsia="Century Gothic" w:hAnsi="Sparkasse Rg" w:cs="Century Gothic"/>
              <w:sz w:val="20"/>
              <w:szCs w:val="20"/>
            </w:rPr>
            <w:id w:val="-19533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E21084" w:rsidRPr="00E21084" w:rsidRDefault="00E21084" w:rsidP="00E21084">
                <w:pPr>
                  <w:rPr>
                    <w:rFonts w:ascii="Sparkasse Rg" w:eastAsia="Century Gothic" w:hAnsi="Sparkasse Rg" w:cs="Century Gothic"/>
                    <w:sz w:val="20"/>
                    <w:szCs w:val="20"/>
                  </w:rPr>
                </w:pPr>
                <w:r w:rsidRPr="00E210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47" w:type="dxa"/>
            <w:shd w:val="clear" w:color="auto" w:fill="auto"/>
            <w:vAlign w:val="center"/>
          </w:tcPr>
          <w:p w:rsidR="00E21084" w:rsidRPr="00E21084" w:rsidRDefault="00E21084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E21084">
              <w:rPr>
                <w:rFonts w:ascii="Sparkasse Rg" w:eastAsia="Century Gothic" w:hAnsi="Sparkasse Rg" w:cs="Century Gothic"/>
                <w:sz w:val="20"/>
                <w:szCs w:val="20"/>
              </w:rPr>
              <w:t>Auf regelmäßigen Austausch mit Führungskraft und Team achten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084" w:rsidRPr="00E21084" w:rsidRDefault="00E21084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</w:p>
        </w:tc>
      </w:tr>
      <w:tr w:rsidR="00FD2CAF" w:rsidTr="00FD2CAF">
        <w:trPr>
          <w:trHeight w:val="440"/>
        </w:trPr>
        <w:tc>
          <w:tcPr>
            <w:tcW w:w="425" w:type="dxa"/>
            <w:shd w:val="clear" w:color="auto" w:fill="808080" w:themeFill="background1" w:themeFillShade="80"/>
            <w:vAlign w:val="center"/>
          </w:tcPr>
          <w:p w:rsidR="00FD2CAF" w:rsidRPr="00FD2CAF" w:rsidRDefault="00FD2CAF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-1325</wp:posOffset>
                  </wp:positionH>
                  <wp:positionV relativeFrom="paragraph">
                    <wp:posOffset>17752</wp:posOffset>
                  </wp:positionV>
                  <wp:extent cx="219710" cy="237490"/>
                  <wp:effectExtent l="0" t="0" r="889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7" w:type="dxa"/>
            <w:shd w:val="clear" w:color="auto" w:fill="808080" w:themeFill="background1" w:themeFillShade="80"/>
            <w:vAlign w:val="center"/>
          </w:tcPr>
          <w:p w:rsidR="00FD2CAF" w:rsidRPr="00FD2CAF" w:rsidRDefault="00FD2CAF" w:rsidP="00FD2CAF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FD2CAF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Eigene Ergänzungen</w:t>
            </w:r>
          </w:p>
        </w:tc>
        <w:tc>
          <w:tcPr>
            <w:tcW w:w="2976" w:type="dxa"/>
            <w:shd w:val="clear" w:color="auto" w:fill="808080" w:themeFill="background1" w:themeFillShade="80"/>
            <w:vAlign w:val="center"/>
          </w:tcPr>
          <w:p w:rsidR="00FD2CAF" w:rsidRPr="00FD2CAF" w:rsidRDefault="00FD2CAF" w:rsidP="00E21084">
            <w:pPr>
              <w:jc w:val="center"/>
              <w:rPr>
                <w:rFonts w:ascii="Sparkasse Rg" w:eastAsia="Century Gothic" w:hAnsi="Sparkasse Rg" w:cs="Century Gothic"/>
                <w:b/>
                <w:sz w:val="20"/>
                <w:szCs w:val="20"/>
              </w:rPr>
            </w:pPr>
            <w:r w:rsidRPr="00FD2CAF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D2CAF" w:rsidTr="001C2D4F">
        <w:trPr>
          <w:trHeight w:val="440"/>
        </w:trPr>
        <w:tc>
          <w:tcPr>
            <w:tcW w:w="425" w:type="dxa"/>
            <w:shd w:val="clear" w:color="auto" w:fill="auto"/>
            <w:vAlign w:val="center"/>
          </w:tcPr>
          <w:p w:rsidR="00FD2CAF" w:rsidRDefault="00FD2CAF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:rsidR="00FD2CAF" w:rsidRPr="00E21084" w:rsidRDefault="00FD2CAF" w:rsidP="00E21084">
            <w:pPr>
              <w:rPr>
                <w:rFonts w:ascii="Sparkasse Rg" w:eastAsia="Century Gothic" w:hAnsi="Sparkasse Rg" w:cs="Century Gothic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FD2CAF" w:rsidRPr="00E21084" w:rsidRDefault="00FD2CAF" w:rsidP="00E21084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</w:p>
        </w:tc>
      </w:tr>
    </w:tbl>
    <w:p w:rsidR="00B42582" w:rsidRPr="00B42582" w:rsidRDefault="00B42582" w:rsidP="00C30DA8">
      <w:pPr>
        <w:autoSpaceDE w:val="0"/>
        <w:autoSpaceDN w:val="0"/>
        <w:adjustRightInd w:val="0"/>
        <w:rPr>
          <w:rFonts w:ascii="Arial" w:hAnsi="Arial" w:cs="Arial"/>
        </w:rPr>
      </w:pPr>
    </w:p>
    <w:sectPr w:rsidR="00B42582" w:rsidRPr="00B42582" w:rsidSect="00FF5115">
      <w:headerReference w:type="default" r:id="rId11"/>
      <w:footerReference w:type="default" r:id="rId12"/>
      <w:pgSz w:w="11906" w:h="16838"/>
      <w:pgMar w:top="1417" w:right="1417" w:bottom="1134" w:left="1417" w:header="3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altName w:val="Calibri"/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Default="001475BE" w:rsidP="00FD2CAF">
    <w:pPr>
      <w:pStyle w:val="Fuzeile"/>
      <w:ind w:left="-709"/>
    </w:pPr>
    <w:r>
      <w:t>Ihr Vertrauen. Unser Antrieb. Wir sind die Naspa.</w:t>
    </w:r>
    <w:r w:rsidR="00FD2CAF">
      <w:t xml:space="preserve"> </w:t>
    </w:r>
    <w:r w:rsidR="00FD2CAF">
      <w:tab/>
    </w:r>
    <w:r w:rsidR="00FD2CAF">
      <w:tab/>
      <w:t>Stand: August 2020</w:t>
    </w:r>
  </w:p>
  <w:p w:rsidR="001475BE" w:rsidRDefault="001475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CF1F6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noProof/>
        <w:lang w:eastAsia="de-DE"/>
      </w:rPr>
      <w:drawing>
        <wp:inline distT="0" distB="0" distL="0" distR="0" wp14:anchorId="7D676ACE" wp14:editId="037959B3">
          <wp:extent cx="2288843" cy="105410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53" cy="106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5025" w:rsidRPr="001C2D4F" w:rsidRDefault="00FF5115" w:rsidP="00FF5115">
    <w:pPr>
      <w:pStyle w:val="Kopfzeile"/>
      <w:ind w:left="-709" w:hanging="425"/>
      <w:rPr>
        <w:rFonts w:ascii="Sparkasse Head" w:hAnsi="Sparkasse Head"/>
        <w:bCs/>
        <w:color w:val="17365D" w:themeColor="text2" w:themeShade="BF"/>
        <w:sz w:val="36"/>
        <w:szCs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AF2C6D" w:rsidRPr="00AF2C6D">
      <w:rPr>
        <w:rFonts w:ascii="Sparkasse Head" w:hAnsi="Sparkasse Head"/>
        <w:bCs/>
        <w:color w:val="000000" w:themeColor="text1"/>
        <w:sz w:val="36"/>
      </w:rPr>
      <w:t>Arbeiten im</w:t>
    </w:r>
    <w:r w:rsidR="00AF2C6D">
      <w:rPr>
        <w:rFonts w:ascii="Sparkasse Head" w:hAnsi="Sparkasse Head"/>
        <w:bCs/>
        <w:color w:val="17365D" w:themeColor="text2" w:themeShade="BF"/>
        <w:sz w:val="36"/>
      </w:rPr>
      <w:t xml:space="preserve"> </w:t>
    </w:r>
    <w:r w:rsidR="00E21084">
      <w:rPr>
        <w:rFonts w:ascii="Sparkasse Head" w:hAnsi="Sparkasse Head"/>
        <w:bCs/>
        <w:color w:val="000000" w:themeColor="text1"/>
        <w:sz w:val="36"/>
      </w:rPr>
      <w:t>Homeoffice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 w:cs="Arial"/>
        <w:bCs/>
        <w:color w:val="000000" w:themeColor="text1"/>
        <w:sz w:val="36"/>
      </w:rPr>
      <w:t>-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9D23C7" w:rsidRDefault="009D23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A3D94"/>
    <w:rsid w:val="000C53F3"/>
    <w:rsid w:val="00137B72"/>
    <w:rsid w:val="001475BE"/>
    <w:rsid w:val="001C1CE8"/>
    <w:rsid w:val="001C2D4F"/>
    <w:rsid w:val="002C25FC"/>
    <w:rsid w:val="002D3D0C"/>
    <w:rsid w:val="00310AAC"/>
    <w:rsid w:val="00425F10"/>
    <w:rsid w:val="005107F8"/>
    <w:rsid w:val="00533C03"/>
    <w:rsid w:val="005429BD"/>
    <w:rsid w:val="00591F83"/>
    <w:rsid w:val="005A2B1F"/>
    <w:rsid w:val="005C6387"/>
    <w:rsid w:val="005F5025"/>
    <w:rsid w:val="00640B77"/>
    <w:rsid w:val="007557CE"/>
    <w:rsid w:val="007B4ABF"/>
    <w:rsid w:val="007F229C"/>
    <w:rsid w:val="00832EFC"/>
    <w:rsid w:val="00890DAA"/>
    <w:rsid w:val="00935A69"/>
    <w:rsid w:val="00975B9B"/>
    <w:rsid w:val="00983175"/>
    <w:rsid w:val="009B6F8E"/>
    <w:rsid w:val="009D23C7"/>
    <w:rsid w:val="00A219E0"/>
    <w:rsid w:val="00A96C02"/>
    <w:rsid w:val="00AF2C6D"/>
    <w:rsid w:val="00B42582"/>
    <w:rsid w:val="00C23F1C"/>
    <w:rsid w:val="00C30DA8"/>
    <w:rsid w:val="00C81C73"/>
    <w:rsid w:val="00CF1F64"/>
    <w:rsid w:val="00D05744"/>
    <w:rsid w:val="00D06BCA"/>
    <w:rsid w:val="00D90D89"/>
    <w:rsid w:val="00DA1BCC"/>
    <w:rsid w:val="00E21084"/>
    <w:rsid w:val="00E75B58"/>
    <w:rsid w:val="00E8219E"/>
    <w:rsid w:val="00EC1505"/>
    <w:rsid w:val="00F258AA"/>
    <w:rsid w:val="00FD2CAF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98957E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5C37C6-0B65-42A4-98B7-6803AEC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Schlee Klaus (002)</cp:lastModifiedBy>
  <cp:revision>4</cp:revision>
  <cp:lastPrinted>2015-01-21T13:06:00Z</cp:lastPrinted>
  <dcterms:created xsi:type="dcterms:W3CDTF">2020-07-30T12:26:00Z</dcterms:created>
  <dcterms:modified xsi:type="dcterms:W3CDTF">2020-08-10T16:28:00Z</dcterms:modified>
</cp:coreProperties>
</file>